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8A3492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CE5C28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346A2F">
        <w:rPr>
          <w:rFonts w:ascii="Times New Roman" w:hAnsi="Times New Roman" w:cs="Times New Roman"/>
          <w:lang w:val="sr-Latn-RS"/>
        </w:rPr>
        <w:t>Prema Regulativi (EC) br. 1907/2006)</w:t>
      </w:r>
      <w:r w:rsidRPr="00CE5C28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9F3E54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E3536C" w:rsidRDefault="00E3536C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MICROGRAN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vertAlign w:val="superscript"/>
                <w:lang w:val="de-DE"/>
              </w:rPr>
              <w:t>TM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 Se 1% BMP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BA07AB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BA07AB">
              <w:rPr>
                <w:rFonts w:ascii="Times-New-Roman" w:hAnsi="Times-New-Roman" w:cs="Times-New-Roman"/>
                <w:lang w:val="de-DE"/>
              </w:rPr>
              <w:t>u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9F3E54">
        <w:trPr>
          <w:trHeight w:val="151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 xml:space="preserve">- </w:t>
            </w:r>
            <w:r w:rsidR="009F3E54" w:rsidRPr="00A4469C">
              <w:rPr>
                <w:rFonts w:ascii="Times-New-Roman" w:hAnsi="Times-New-Roman" w:cs="Times-New-Roman"/>
                <w:b/>
                <w:i/>
              </w:rPr>
              <w:t>Uvoznik</w:t>
            </w:r>
            <w:r w:rsidR="009F3E54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9F3E54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9F3E54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9F3E54" w:rsidRDefault="00A3582C" w:rsidP="009F3E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9F3E54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9F3E54">
              <w:rPr>
                <w:rFonts w:ascii="Times New Roman" w:eastAsia="Times New Roman" w:hAnsi="Times New Roman" w:cs="Times New Roman"/>
              </w:rPr>
              <w:t xml:space="preserve"> </w:t>
            </w:r>
            <w:r w:rsidR="009F3E54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9F3E54">
              <w:rPr>
                <w:rFonts w:ascii="Times New Roman" w:eastAsia="Times New Roman" w:hAnsi="Times New Roman" w:cs="Times New Roman"/>
              </w:rPr>
              <w:t>atovljev</w:t>
            </w:r>
            <w:r w:rsidR="009F3E54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9F3E54" w:rsidP="009F3E5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8A3492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3060"/>
        <w:gridCol w:w="253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8558C9">
        <w:trPr>
          <w:trHeight w:val="6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BA07AB" w:rsidRPr="009F787D" w:rsidRDefault="00E3536C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8B2A29" w:rsidRPr="008B2A29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F787D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  <w:p w:rsidR="00E3536C" w:rsidRDefault="00E3536C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E3536C" w:rsidP="00351E8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>Može izazvati osetljivost pri kontaktu sa kožom.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E3536C" w:rsidRDefault="00FC4D1B" w:rsidP="00E3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  <w:p w:rsidR="00E3536C" w:rsidRPr="00F4586F" w:rsidRDefault="00E3536C" w:rsidP="00E3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E3536C" w:rsidP="00E353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za vodene organizme, može izazvati dugoročne negativne posledice po vodenu sredinu.</w:t>
            </w:r>
          </w:p>
        </w:tc>
      </w:tr>
      <w:tr w:rsidR="00A25630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F6330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DD10C3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394137" w:rsidRPr="0039413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E3536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Može izazvati osetljivost pri kontaktu sa kožom</w:t>
            </w:r>
            <w:r w:rsidR="008B2A29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B2A29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E3536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Štetno ako se proguta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3949D8">
        <w:trPr>
          <w:trHeight w:val="377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Pr="00A4469C" w:rsidRDefault="00E3536C" w:rsidP="00A15368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="008B2A29"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 w:rsidR="008B2A29"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mešavina koja sadrži </w:t>
            </w:r>
            <w:r w:rsidR="00A17F06">
              <w:rPr>
                <w:rFonts w:ascii="Times New Roman" w:hAnsi="Times New Roman" w:cs="Times New Roman"/>
                <w:bCs/>
                <w:lang w:val="sr-Latn-RS"/>
              </w:rPr>
              <w:t xml:space="preserve">aktivne sastojke </w:t>
            </w:r>
            <w:r w:rsidR="008B2A29"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i </w:t>
            </w:r>
            <w:r w:rsidR="004851FC">
              <w:rPr>
                <w:rFonts w:ascii="Times New Roman" w:hAnsi="Times New Roman" w:cs="Times New Roman"/>
                <w:bCs/>
                <w:lang w:val="sr-Latn-RS"/>
              </w:rPr>
              <w:t>pomoćne supstance</w:t>
            </w:r>
            <w:r w:rsidR="008B2A29" w:rsidRPr="00F4586F">
              <w:rPr>
                <w:rFonts w:ascii="Times New Roman" w:hAnsi="Times New Roman" w:cs="Times New Roman"/>
                <w:bCs/>
                <w:lang w:val="sr-Latn-RS"/>
              </w:rPr>
              <w:t>.</w:t>
            </w:r>
          </w:p>
        </w:tc>
      </w:tr>
      <w:tr w:rsidR="00F4586F" w:rsidTr="003949D8">
        <w:trPr>
          <w:trHeight w:val="348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4851FC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Opasne k</w:t>
            </w:r>
            <w:r w:rsidR="00F4586F">
              <w:rPr>
                <w:rFonts w:ascii="Times-New-Roman" w:hAnsi="Times-New-Roman" w:cs="Times-New-Roman"/>
                <w:b/>
              </w:rPr>
              <w:t>omponent</w:t>
            </w:r>
            <w:r>
              <w:rPr>
                <w:rFonts w:ascii="Times-New-Roman" w:hAnsi="Times-New-Roman" w:cs="Times-New-Roman"/>
                <w:b/>
              </w:rPr>
              <w:t>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F4586F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6F" w:rsidRPr="00A4469C" w:rsidRDefault="009F787D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86F" w:rsidRPr="00A4469C" w:rsidRDefault="00F4586F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4586F" w:rsidRPr="00A4469C" w:rsidRDefault="00F4586F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DD10C3" w:rsidTr="00BA07AB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C3" w:rsidRDefault="00E3536C" w:rsidP="00E3536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Sodium selenite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C3" w:rsidRDefault="00E3536C" w:rsidP="00E3536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10102-18-8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C3" w:rsidRDefault="00E3536C" w:rsidP="00E3536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233-267-9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C3" w:rsidRDefault="00E3536C" w:rsidP="00E353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T+; R28</w:t>
            </w:r>
          </w:p>
          <w:p w:rsidR="00E3536C" w:rsidRDefault="00E3536C" w:rsidP="00E353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T;R 23</w:t>
            </w:r>
          </w:p>
          <w:p w:rsidR="00E3536C" w:rsidRDefault="00E3536C" w:rsidP="00E353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R31</w:t>
            </w:r>
          </w:p>
          <w:p w:rsidR="00E3536C" w:rsidRDefault="00E3536C" w:rsidP="00E353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R43</w:t>
            </w:r>
          </w:p>
          <w:p w:rsidR="00E3536C" w:rsidRDefault="00E3536C" w:rsidP="00E353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N; R51-R53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10C3" w:rsidRDefault="00DD10C3" w:rsidP="00E353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</w:t>
            </w:r>
            <w:r w:rsidR="00E3536C">
              <w:rPr>
                <w:rFonts w:ascii="Times New Roman" w:hAnsi="Times New Roman" w:cs="Times New Roman"/>
                <w:lang w:val="de-DE"/>
              </w:rPr>
              <w:t>2,5</w:t>
            </w:r>
            <w:r>
              <w:rPr>
                <w:rFonts w:ascii="Times New Roman" w:hAnsi="Times New Roman" w:cs="Times New Roman"/>
                <w:lang w:val="de-DE"/>
              </w:rPr>
              <w:t xml:space="preserve">- &lt; </w:t>
            </w:r>
            <w:r w:rsidR="00E3536C">
              <w:rPr>
                <w:rFonts w:ascii="Times New Roman" w:hAnsi="Times New Roman" w:cs="Times New Roman"/>
                <w:lang w:val="de-DE"/>
              </w:rPr>
              <w:t>3</w:t>
            </w:r>
          </w:p>
        </w:tc>
      </w:tr>
      <w:tr w:rsidR="00DD10C3" w:rsidTr="003949D8">
        <w:trPr>
          <w:trHeight w:val="35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10C3" w:rsidRDefault="00DD10C3" w:rsidP="00DD10C3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-New-Roman" w:hAnsi="Times-New-Roman" w:cs="Times-New-Roman"/>
              </w:rPr>
              <w:t>Ostale komponente</w:t>
            </w:r>
          </w:p>
        </w:tc>
      </w:tr>
      <w:tr w:rsidR="00BA07AB" w:rsidTr="00A71C5D">
        <w:trPr>
          <w:trHeight w:val="368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E3536C" w:rsidP="003949D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Calcium carbonate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E3536C" w:rsidP="003949D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471-34-1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E3536C" w:rsidP="003949D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207-439-9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Default="00BA07AB" w:rsidP="003949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E3536C" w:rsidP="003949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&gt;= 60- &lt;= 90</w:t>
            </w:r>
          </w:p>
        </w:tc>
      </w:tr>
      <w:tr w:rsidR="00BA07AB" w:rsidTr="003949D8">
        <w:trPr>
          <w:trHeight w:val="312"/>
          <w:jc w:val="center"/>
        </w:trPr>
        <w:tc>
          <w:tcPr>
            <w:tcW w:w="11006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Default="00BA07AB" w:rsidP="003949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CB461D">
              <w:rPr>
                <w:rFonts w:ascii="Times-New-Roman" w:hAnsi="Times-New-Roman" w:cs="Times-New-Roman"/>
                <w:lang w:val="de-DE"/>
              </w:rPr>
              <w:t>Za više informacija videti tačku 16.</w:t>
            </w:r>
          </w:p>
        </w:tc>
      </w:tr>
      <w:tr w:rsidR="00BA07AB" w:rsidTr="003949D8">
        <w:trPr>
          <w:trHeight w:val="440"/>
          <w:jc w:val="center"/>
        </w:trPr>
        <w:tc>
          <w:tcPr>
            <w:tcW w:w="11006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A07AB" w:rsidRPr="00074FD9" w:rsidRDefault="00BA07AB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BA07AB" w:rsidTr="00A15368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A07AB" w:rsidRPr="00A4469C" w:rsidRDefault="00BA07A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E3536C" w:rsidP="00A1536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Udaljiti se od zone opasnosti. Pokazati ovaj bezbednosni list u prisustvu lekara.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BA07AB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BA07AB" w:rsidRPr="00A4469C" w:rsidRDefault="00BA07AB" w:rsidP="00394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3949D8">
              <w:rPr>
                <w:rFonts w:ascii="Times-New-Roman" w:hAnsi="Times-New-Roman" w:cs="Times-New-Roman"/>
              </w:rPr>
              <w:t xml:space="preserve">Ukoliko ostanu simptomi konsultovati lekara. </w:t>
            </w:r>
          </w:p>
        </w:tc>
      </w:tr>
      <w:tr w:rsidR="00BA07AB" w:rsidTr="003949D8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043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A07AB" w:rsidRPr="00A4469C" w:rsidRDefault="003949D8" w:rsidP="00394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Radi predostrožnosti isprati oko. </w:t>
            </w:r>
            <w:r w:rsidR="00BA07AB">
              <w:rPr>
                <w:rFonts w:ascii="Times-New-Roman" w:hAnsi="Times-New-Roman" w:cs="Times-New-Roman"/>
              </w:rPr>
              <w:t xml:space="preserve">Ukloniti kontaktna sočiva. Zaštiti nepovređeno oko. Držati oko širom otvoreno u toku ispiranja. </w:t>
            </w:r>
            <w:r>
              <w:rPr>
                <w:rFonts w:ascii="Times-New-Roman" w:hAnsi="Times-New-Roman" w:cs="Times-New-Roman"/>
              </w:rPr>
              <w:t>Ukoliko iritacija oka ostane konsultovati specijalistu.</w:t>
            </w:r>
          </w:p>
        </w:tc>
      </w:tr>
    </w:tbl>
    <w:p w:rsidR="003949D8" w:rsidRPr="00E3536C" w:rsidRDefault="003949D8" w:rsidP="003949D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Se 1% BMP)</w:t>
      </w:r>
    </w:p>
    <w:p w:rsidR="003949D8" w:rsidRPr="002C21D4" w:rsidRDefault="003949D8" w:rsidP="003949D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F3E5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3949D8" w:rsidRDefault="003949D8" w:rsidP="003949D8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BA07AB" w:rsidTr="003949D8">
        <w:trPr>
          <w:trHeight w:val="198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A07AB" w:rsidRPr="00A4469C" w:rsidRDefault="00BA07AB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lastRenderedPageBreak/>
              <w:t>Nakon gutanja: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A07AB" w:rsidRPr="00A4469C" w:rsidRDefault="00BA07AB" w:rsidP="00394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</w:t>
            </w:r>
            <w:r w:rsidR="003949D8">
              <w:rPr>
                <w:rFonts w:ascii="Times-New-Roman" w:hAnsi="Times-New-Roman" w:cs="Times-New-Roman"/>
              </w:rPr>
              <w:t>Konsultovati lekara.</w:t>
            </w:r>
          </w:p>
        </w:tc>
      </w:tr>
      <w:tr w:rsidR="00BA07AB" w:rsidTr="003949D8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BA07AB" w:rsidTr="003949D8">
        <w:trPr>
          <w:trHeight w:val="287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AB" w:rsidRPr="00A4469C" w:rsidRDefault="00BA07AB" w:rsidP="00A71C5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A07AB" w:rsidRPr="00A4469C" w:rsidRDefault="00BA07A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3949D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117B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Dodatne informacije: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Default="00F63302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Sakupiti vodu za gašenje požara odvojeno.Ne sme se ispuštati u odvod.Ostaci od požara i voda za gašenje požara se mora odložiti u skladu sa važećim regulativama. Uzeti u obzir opasnost od eksplozije prašine.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3949D8" w:rsidP="00394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Koristiti ličnu zaštitnu opremu. </w:t>
            </w:r>
            <w:r w:rsidR="00F63302">
              <w:rPr>
                <w:rFonts w:ascii="Times-New-Roman" w:hAnsi="Times-New-Roman" w:cs="Times-New-Roman"/>
              </w:rPr>
              <w:t>Izbegavati</w:t>
            </w:r>
            <w:r w:rsidR="00A15368">
              <w:rPr>
                <w:rFonts w:ascii="Times-New-Roman" w:hAnsi="Times-New-Roman" w:cs="Times-New-Roman"/>
              </w:rPr>
              <w:t xml:space="preserve"> formiranje</w:t>
            </w:r>
            <w:r w:rsidR="00F63302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 xml:space="preserve">i udisanje </w:t>
            </w:r>
            <w:r w:rsidR="00F63302">
              <w:rPr>
                <w:rFonts w:ascii="Times-New-Roman" w:hAnsi="Times-New-Roman" w:cs="Times-New-Roman"/>
              </w:rPr>
              <w:t>prašin</w:t>
            </w:r>
            <w:r w:rsidR="00A15368">
              <w:rPr>
                <w:rFonts w:ascii="Times-New-Roman" w:hAnsi="Times-New-Roman" w:cs="Times-New-Roman"/>
              </w:rPr>
              <w:t>e</w:t>
            </w:r>
            <w:r w:rsidR="00F63302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Osigurati dobru ventilaciju.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394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Sprečiti dospeće proizvoda u površinske vode </w:t>
            </w:r>
            <w:r>
              <w:rPr>
                <w:rFonts w:ascii="Times-New-Roman" w:hAnsi="Times-New-Roman" w:cs="Times-New-Roman"/>
              </w:rPr>
              <w:t xml:space="preserve">ili sanitarni </w:t>
            </w:r>
            <w:proofErr w:type="gramStart"/>
            <w:r>
              <w:rPr>
                <w:rFonts w:ascii="Times-New-Roman" w:hAnsi="Times-New-Roman" w:cs="Times-New-Roman"/>
              </w:rPr>
              <w:t xml:space="preserve">kanalizacioni </w:t>
            </w:r>
            <w:r w:rsidR="00DD10C3">
              <w:rPr>
                <w:rFonts w:ascii="Times-New-Roman" w:hAnsi="Times-New-Roman" w:cs="Times-New-Roman"/>
              </w:rPr>
              <w:t xml:space="preserve"> </w:t>
            </w:r>
            <w:r w:rsidRPr="00A4469C">
              <w:rPr>
                <w:rFonts w:ascii="Times-New-Roman" w:hAnsi="Times-New-Roman" w:cs="Times-New-Roman"/>
              </w:rPr>
              <w:t>odvodni</w:t>
            </w:r>
            <w:proofErr w:type="gramEnd"/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sistem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3949D8">
              <w:rPr>
                <w:rFonts w:ascii="Times-New-Roman" w:hAnsi="Times-New-Roman" w:cs="Times-New-Roman"/>
              </w:rPr>
              <w:t xml:space="preserve">Ukoliko proizvod kontaminira reke, jezera ili odvod obavestiti nadležne. </w:t>
            </w:r>
            <w:r>
              <w:rPr>
                <w:rFonts w:ascii="Times-New-Roman" w:hAnsi="Times-New-Roman" w:cs="Times-New-Roman"/>
              </w:rPr>
              <w:t>Nikakve posebne predostrožnosti nisu neophodne.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3949D8" w:rsidP="00394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Sakupiti prosuti proizvod bez stvaranja prašine. </w:t>
            </w:r>
            <w:r w:rsidR="00F63302">
              <w:rPr>
                <w:rFonts w:ascii="Times-New-Roman" w:hAnsi="Times-New-Roman" w:cs="Times-New-Roman"/>
              </w:rPr>
              <w:t>Počistiti</w:t>
            </w:r>
            <w:r w:rsidR="00A15368">
              <w:rPr>
                <w:rFonts w:ascii="Times-New-Roman" w:hAnsi="Times-New-Roman" w:cs="Times-New-Roman"/>
              </w:rPr>
              <w:t xml:space="preserve"> lopatom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A15368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3949D8" w:rsidP="008775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prašine koja se može udahnuti.Sprečiti prekoračenje granice izloženosti date u tački 8. Izbegavati kontakt sa kožom i očima. </w:t>
            </w:r>
            <w:r w:rsidR="008775AA">
              <w:rPr>
                <w:rFonts w:ascii="Times-New-Roman" w:hAnsi="Times-New-Roman" w:cs="Times-New-Roman"/>
              </w:rPr>
              <w:t>Za mere lične zaštite videti tačku 8.  Pušenje, jelo i piće treba zabraniti u oblasti rukovanja ovim proizvodom. Vodu koja je korišćenja za pranje oložiti u skladu sa važećim zakonskim regulativama.</w:t>
            </w:r>
          </w:p>
        </w:tc>
      </w:tr>
      <w:tr w:rsidR="00F63302" w:rsidTr="008775AA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E43FF1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</w:tbl>
    <w:p w:rsidR="008775AA" w:rsidRPr="00E3536C" w:rsidRDefault="008775AA" w:rsidP="008775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Se 1% BMP)</w:t>
      </w:r>
    </w:p>
    <w:p w:rsidR="008775AA" w:rsidRPr="002C21D4" w:rsidRDefault="008775AA" w:rsidP="008775A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F3E5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775AA" w:rsidRDefault="008775AA" w:rsidP="008775AA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0"/>
        <w:gridCol w:w="278"/>
        <w:gridCol w:w="2028"/>
        <w:gridCol w:w="217"/>
        <w:gridCol w:w="1297"/>
        <w:gridCol w:w="1897"/>
        <w:gridCol w:w="1554"/>
        <w:gridCol w:w="9"/>
        <w:gridCol w:w="1646"/>
      </w:tblGrid>
      <w:tr w:rsidR="00F63302" w:rsidTr="005A09D8">
        <w:trPr>
          <w:trHeight w:val="70"/>
          <w:jc w:val="center"/>
        </w:trPr>
        <w:tc>
          <w:tcPr>
            <w:tcW w:w="46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7.2. Skladištenje:</w:t>
            </w:r>
          </w:p>
        </w:tc>
        <w:tc>
          <w:tcPr>
            <w:tcW w:w="6403" w:type="dxa"/>
            <w:gridSpan w:val="5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5A09D8">
        <w:trPr>
          <w:trHeight w:val="80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12537F" w:rsidRDefault="00F63302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BC04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F63302" w:rsidTr="005A09D8">
        <w:trPr>
          <w:trHeight w:val="80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63302" w:rsidRPr="00A4469C" w:rsidRDefault="00F63302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8775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</w:t>
            </w:r>
            <w:r w:rsidR="00EC2B94">
              <w:rPr>
                <w:rFonts w:ascii="Times-New-Roman" w:hAnsi="Times-New-Roman" w:cs="Times-New-Roman"/>
              </w:rPr>
              <w:t>renim i suvim</w:t>
            </w:r>
            <w:proofErr w:type="gramStart"/>
            <w:r w:rsidR="00EC2B94">
              <w:rPr>
                <w:rFonts w:ascii="Times-New-Roman" w:hAnsi="Times-New-Roman" w:cs="Times-New-Roman"/>
              </w:rPr>
              <w:t>,  na</w:t>
            </w:r>
            <w:proofErr w:type="gramEnd"/>
            <w:r w:rsidR="00EC2B94"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 xml:space="preserve">&lt; </w:t>
            </w:r>
            <w:r w:rsidR="008775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 w:rsidR="00EC2B94">
              <w:rPr>
                <w:rFonts w:ascii="Times-New-Roman,Bold" w:hAnsi="Times-New-Roman,Bold" w:cs="Times-New-Roman,Bold"/>
                <w:bCs/>
              </w:rPr>
              <w:t xml:space="preserve">. </w:t>
            </w:r>
            <w:r w:rsidR="008775AA">
              <w:rPr>
                <w:rFonts w:ascii="Times-New-Roman,Bold" w:hAnsi="Times-New-Roman,Bold" w:cs="Times-New-Roman,Bold"/>
                <w:bCs/>
              </w:rPr>
              <w:t xml:space="preserve">Ne skladištiti blizu kiselina. </w:t>
            </w:r>
            <w:r w:rsidR="00A15368">
              <w:rPr>
                <w:rFonts w:ascii="Times-New-Roman,Bold" w:hAnsi="Times-New-Roman,Bold" w:cs="Times-New-Roman,Bold"/>
                <w:bCs/>
              </w:rPr>
              <w:t>Ne dolazi do raspada ukoliko se skladišti i primenjuje kako je naznačeno.</w:t>
            </w:r>
          </w:p>
        </w:tc>
      </w:tr>
      <w:tr w:rsidR="00F63302" w:rsidTr="005A09D8">
        <w:trPr>
          <w:trHeight w:val="70"/>
          <w:jc w:val="center"/>
        </w:trPr>
        <w:tc>
          <w:tcPr>
            <w:tcW w:w="460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5A09D8">
        <w:trPr>
          <w:trHeight w:val="80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5A09D8">
        <w:trPr>
          <w:trHeight w:val="80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8775AA">
        <w:trPr>
          <w:trHeight w:val="46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EC2B94" w:rsidTr="00243877">
        <w:trPr>
          <w:trHeight w:val="46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C2B94" w:rsidRPr="00A4469C" w:rsidRDefault="00EC2B94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</w:tr>
      <w:tr w:rsidR="00EC2B94" w:rsidRPr="00A4469C" w:rsidTr="008775AA">
        <w:trPr>
          <w:trHeight w:val="50"/>
          <w:jc w:val="center"/>
        </w:trPr>
        <w:tc>
          <w:tcPr>
            <w:tcW w:w="208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346A2F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46A2F">
              <w:rPr>
                <w:rFonts w:ascii="Times New Roman" w:hAnsi="Times New Roman" w:cs="Times New Roman"/>
                <w:bCs/>
              </w:rPr>
              <w:t>Komponenta</w:t>
            </w:r>
          </w:p>
        </w:tc>
        <w:tc>
          <w:tcPr>
            <w:tcW w:w="2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346A2F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46A2F">
              <w:rPr>
                <w:rFonts w:ascii="Times New Roman" w:hAnsi="Times New Roman" w:cs="Times New Roman"/>
                <w:bCs/>
              </w:rPr>
              <w:t>CAS broj</w:t>
            </w:r>
          </w:p>
        </w:tc>
        <w:tc>
          <w:tcPr>
            <w:tcW w:w="15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346A2F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Vrednost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346A2F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Parametar kontrole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2E1474" w:rsidRDefault="002E147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r w:rsidRPr="002E1474">
              <w:rPr>
                <w:rFonts w:ascii="Times New Roman" w:hAnsi="Times New Roman" w:cs="Times New Roman"/>
              </w:rPr>
              <w:t>Ažurirano</w:t>
            </w:r>
            <w:bookmarkEnd w:id="0"/>
          </w:p>
        </w:tc>
        <w:tc>
          <w:tcPr>
            <w:tcW w:w="1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346A2F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Osnova</w:t>
            </w:r>
          </w:p>
        </w:tc>
      </w:tr>
      <w:tr w:rsidR="00BC048F" w:rsidRPr="00A4469C" w:rsidTr="008775AA">
        <w:trPr>
          <w:trHeight w:val="70"/>
          <w:jc w:val="center"/>
        </w:trPr>
        <w:tc>
          <w:tcPr>
            <w:tcW w:w="208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C048F" w:rsidRPr="00346A2F" w:rsidRDefault="008775AA" w:rsidP="00A1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Calcium carbonate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346A2F" w:rsidRDefault="008775AA" w:rsidP="00877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346A2F">
              <w:rPr>
                <w:rFonts w:ascii="Times New Roman" w:hAnsi="Times New Roman" w:cs="Times New Roman"/>
                <w:bCs/>
                <w:lang w:val="de-DE"/>
              </w:rPr>
              <w:t>471-34-1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346A2F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346A2F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10 mg/m</w:t>
            </w:r>
            <w:r w:rsidRPr="00346A2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48F" w:rsidRPr="00346A2F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C048F" w:rsidRPr="00346A2F" w:rsidRDefault="00BC048F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GB EH40</w:t>
            </w:r>
          </w:p>
        </w:tc>
      </w:tr>
      <w:tr w:rsidR="008775AA" w:rsidRPr="00A4469C" w:rsidTr="008775AA">
        <w:trPr>
          <w:trHeight w:val="70"/>
          <w:jc w:val="center"/>
        </w:trPr>
        <w:tc>
          <w:tcPr>
            <w:tcW w:w="2080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775AA" w:rsidRPr="00346A2F" w:rsidRDefault="008775AA" w:rsidP="00A1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Način izloženosti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75AA" w:rsidRPr="00346A2F" w:rsidRDefault="008775AA" w:rsidP="00877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de-DE"/>
              </w:rPr>
            </w:pPr>
            <w:r w:rsidRPr="00346A2F">
              <w:rPr>
                <w:rFonts w:ascii="Times New Roman" w:hAnsi="Times New Roman" w:cs="Times New Roman"/>
                <w:bCs/>
                <w:lang w:val="de-DE"/>
              </w:rPr>
              <w:t>:</w:t>
            </w: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775AA" w:rsidRPr="00346A2F" w:rsidRDefault="008775AA" w:rsidP="00A17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  <w:bCs/>
                <w:lang w:val="de-DE"/>
              </w:rPr>
              <w:t xml:space="preserve">Udisanjem </w:t>
            </w:r>
          </w:p>
        </w:tc>
      </w:tr>
      <w:tr w:rsidR="00EC2B94" w:rsidRPr="00147F3F" w:rsidTr="008775AA">
        <w:trPr>
          <w:trHeight w:val="1088"/>
          <w:jc w:val="center"/>
        </w:trPr>
        <w:tc>
          <w:tcPr>
            <w:tcW w:w="2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346A2F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46A2F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346A2F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24B27" w:rsidRPr="00346A2F" w:rsidRDefault="008775AA" w:rsidP="00160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42</w:t>
            </w:r>
            <w:r w:rsidR="00EC2B94" w:rsidRPr="00346A2F">
              <w:rPr>
                <w:rFonts w:ascii="Times New Roman" w:hAnsi="Times New Roman" w:cs="Times New Roman"/>
              </w:rPr>
              <w:t>: Po COSHH definiciji u supstance opasne po zdravlje ubraja se svaka prašina koja je u vazduhu prosutna u koncentraciji ≥ 10 mg/m</w:t>
            </w:r>
            <w:r w:rsidR="00EC2B94" w:rsidRPr="00346A2F">
              <w:rPr>
                <w:rFonts w:ascii="Times New Roman" w:hAnsi="Times New Roman" w:cs="Times New Roman"/>
                <w:vertAlign w:val="superscript"/>
              </w:rPr>
              <w:t>3</w:t>
            </w:r>
            <w:r w:rsidR="00EC2B94" w:rsidRPr="00346A2F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="00EC2B94" w:rsidRPr="00346A2F">
              <w:rPr>
                <w:rFonts w:ascii="Times New Roman" w:hAnsi="Times New Roman" w:cs="Times New Roman"/>
                <w:vertAlign w:val="superscript"/>
              </w:rPr>
              <w:t>3</w:t>
            </w:r>
            <w:r w:rsidR="00EC2B94" w:rsidRPr="00346A2F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1609B6">
              <w:rPr>
                <w:rFonts w:ascii="Times New Roman" w:hAnsi="Times New Roman" w:cs="Times New Roman"/>
              </w:rPr>
              <w:t xml:space="preserve">ako je </w:t>
            </w:r>
            <w:r w:rsidR="00EC2B94" w:rsidRPr="00346A2F">
              <w:rPr>
                <w:rFonts w:ascii="Times New Roman" w:hAnsi="Times New Roman" w:cs="Times New Roman"/>
              </w:rPr>
              <w:t>prašini dodeljena oznaka WEL izlaganje mora biti ispod propisane granice.</w:t>
            </w:r>
          </w:p>
        </w:tc>
      </w:tr>
      <w:tr w:rsidR="008775AA" w:rsidRPr="00147F3F" w:rsidTr="008775AA">
        <w:trPr>
          <w:trHeight w:val="70"/>
          <w:jc w:val="center"/>
        </w:trPr>
        <w:tc>
          <w:tcPr>
            <w:tcW w:w="208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5AA" w:rsidRPr="00346A2F" w:rsidRDefault="008775AA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5AA" w:rsidRPr="00346A2F" w:rsidRDefault="008775AA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5AA" w:rsidRPr="00346A2F" w:rsidRDefault="008775AA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5AA" w:rsidRPr="00346A2F" w:rsidRDefault="008775AA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5AA" w:rsidRPr="00346A2F" w:rsidRDefault="008775AA" w:rsidP="00EC2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4 mg/m</w:t>
            </w:r>
            <w:r w:rsidRPr="00346A2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5AA" w:rsidRPr="00346A2F" w:rsidRDefault="008775AA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775AA" w:rsidRPr="00346A2F" w:rsidRDefault="008775AA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GB EH40</w:t>
            </w:r>
          </w:p>
        </w:tc>
      </w:tr>
      <w:tr w:rsidR="008775AA" w:rsidRPr="00147F3F" w:rsidTr="008775AA">
        <w:trPr>
          <w:trHeight w:val="70"/>
          <w:jc w:val="center"/>
        </w:trPr>
        <w:tc>
          <w:tcPr>
            <w:tcW w:w="20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5AA" w:rsidRPr="00346A2F" w:rsidRDefault="008775AA" w:rsidP="00BA07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Način izloženosti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75AA" w:rsidRPr="00346A2F" w:rsidRDefault="008775AA" w:rsidP="00877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48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775AA" w:rsidRPr="00346A2F" w:rsidRDefault="008775AA" w:rsidP="008775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346A2F">
              <w:rPr>
                <w:rFonts w:ascii="Times New Roman" w:hAnsi="Times New Roman" w:cs="Times New Roman"/>
              </w:rPr>
              <w:t>disanjem</w:t>
            </w:r>
          </w:p>
        </w:tc>
      </w:tr>
      <w:tr w:rsidR="008775AA" w:rsidRPr="00147F3F" w:rsidTr="008775AA">
        <w:trPr>
          <w:trHeight w:val="70"/>
          <w:jc w:val="center"/>
        </w:trPr>
        <w:tc>
          <w:tcPr>
            <w:tcW w:w="11006" w:type="dxa"/>
            <w:gridSpan w:val="9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5A09D8" w:rsidRDefault="008775AA" w:rsidP="008775A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  <w:sz w:val="4"/>
                <w:szCs w:val="4"/>
              </w:rPr>
            </w:pPr>
          </w:p>
        </w:tc>
      </w:tr>
      <w:tr w:rsidR="004C7BA4" w:rsidTr="005A09D8">
        <w:trPr>
          <w:trHeight w:val="70"/>
          <w:jc w:val="center"/>
        </w:trPr>
        <w:tc>
          <w:tcPr>
            <w:tcW w:w="460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Default="004C7BA4" w:rsidP="005A09D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Default="004C7BA4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4C7BA4" w:rsidTr="005A09D8">
        <w:trPr>
          <w:trHeight w:val="162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5A09D8">
        <w:trPr>
          <w:trHeight w:val="80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C7BA4" w:rsidRPr="00A4469C" w:rsidRDefault="004C7BA4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4C7BA4" w:rsidTr="005A09D8">
        <w:trPr>
          <w:trHeight w:val="70"/>
          <w:jc w:val="center"/>
        </w:trPr>
        <w:tc>
          <w:tcPr>
            <w:tcW w:w="460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4C7BA4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C7BA4" w:rsidTr="005A09D8">
        <w:trPr>
          <w:trHeight w:val="80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</w:p>
        </w:tc>
      </w:tr>
      <w:tr w:rsidR="004C7BA4" w:rsidTr="005A09D8">
        <w:trPr>
          <w:trHeight w:val="465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243877" w:rsidP="005A0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 slučaju </w:t>
            </w:r>
            <w:r w:rsidR="008775AA">
              <w:rPr>
                <w:rFonts w:ascii="Times-New-Roman" w:hAnsi="Times-New-Roman" w:cs="Times-New-Roman"/>
              </w:rPr>
              <w:t>formiranja</w:t>
            </w:r>
            <w:r>
              <w:rPr>
                <w:rFonts w:ascii="Times-New-Roman" w:hAnsi="Times-New-Roman" w:cs="Times-New-Roman"/>
              </w:rPr>
              <w:t xml:space="preserve"> prašine</w:t>
            </w:r>
            <w:r w:rsidR="008775AA">
              <w:rPr>
                <w:rFonts w:ascii="Times-New-Roman" w:hAnsi="Times-New-Roman" w:cs="Times-New-Roman"/>
              </w:rPr>
              <w:t xml:space="preserve"> ili aerosola</w:t>
            </w:r>
            <w:r>
              <w:rPr>
                <w:rFonts w:ascii="Times-New-Roman" w:hAnsi="Times-New-Roman" w:cs="Times-New-Roman"/>
              </w:rPr>
              <w:t xml:space="preserve"> </w:t>
            </w:r>
            <w:r w:rsidR="00A71C5D">
              <w:rPr>
                <w:rFonts w:ascii="Times-New-Roman" w:hAnsi="Times-New-Roman" w:cs="Times-New-Roman"/>
              </w:rPr>
              <w:t xml:space="preserve">koristiti </w:t>
            </w:r>
            <w:r w:rsidR="008775AA">
              <w:rPr>
                <w:rFonts w:ascii="Times-New-Roman" w:hAnsi="Times-New-Roman" w:cs="Times-New-Roman"/>
              </w:rPr>
              <w:t>respirator sa odgovarajućim filterom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4C7BA4" w:rsidTr="005A09D8">
        <w:trPr>
          <w:trHeight w:val="252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AC627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8775AA" w:rsidP="005A0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Materijal za rukavice: npr. nitrilna guma. Uzeti u obzir opasne karakteristike ovog proizvoda i specifičnost radnih uslova pri izboru adekvatnog tipa zaštitnih rukavica.</w:t>
            </w:r>
          </w:p>
        </w:tc>
      </w:tr>
      <w:tr w:rsidR="004C7BA4" w:rsidTr="005A09D8">
        <w:trPr>
          <w:trHeight w:val="80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C7BA4" w:rsidRPr="00A4469C" w:rsidRDefault="004C7BA4" w:rsidP="005A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C7BA4" w:rsidRPr="00A4469C" w:rsidRDefault="008775AA" w:rsidP="005A0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sa štitnicima sa strane.</w:t>
            </w:r>
          </w:p>
        </w:tc>
      </w:tr>
      <w:tr w:rsidR="008775AA" w:rsidTr="005A09D8">
        <w:trPr>
          <w:trHeight w:val="80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775AA" w:rsidRPr="00A4469C" w:rsidRDefault="008775AA" w:rsidP="005A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775AA" w:rsidRPr="00A4469C" w:rsidRDefault="008775AA" w:rsidP="005A09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Izabrati zaštitu u odnosu na količinu i koncentraciju opasnih supstanci na radnom mestu.</w:t>
            </w:r>
          </w:p>
        </w:tc>
      </w:tr>
      <w:tr w:rsidR="008775AA" w:rsidTr="005A09D8">
        <w:trPr>
          <w:trHeight w:val="333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775AA" w:rsidRPr="00A4469C" w:rsidRDefault="008775AA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775AA" w:rsidRPr="00A4469C" w:rsidRDefault="008775AA" w:rsidP="005A09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Upravljati se u skladu sa principima održavanja higijene i primene bezbednosnih mera na radnom mestu. Oprati ruke pre pauza i na kraju radnog dana. </w:t>
            </w:r>
          </w:p>
        </w:tc>
      </w:tr>
      <w:tr w:rsidR="009C50E8" w:rsidTr="005A09D8">
        <w:trPr>
          <w:trHeight w:val="70"/>
          <w:jc w:val="center"/>
        </w:trPr>
        <w:tc>
          <w:tcPr>
            <w:tcW w:w="460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4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5A09D8">
        <w:trPr>
          <w:trHeight w:val="80"/>
          <w:jc w:val="center"/>
        </w:trPr>
        <w:tc>
          <w:tcPr>
            <w:tcW w:w="4603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403" w:type="dxa"/>
            <w:gridSpan w:val="5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8775AA" w:rsidRPr="00E3536C" w:rsidRDefault="008775AA" w:rsidP="008775A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Se 1% BMP)</w:t>
      </w:r>
    </w:p>
    <w:p w:rsidR="008775AA" w:rsidRPr="002C21D4" w:rsidRDefault="008775AA" w:rsidP="008775AA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F3E5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775AA" w:rsidRDefault="008775AA" w:rsidP="008775AA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1"/>
        <w:gridCol w:w="451"/>
        <w:gridCol w:w="900"/>
        <w:gridCol w:w="5414"/>
      </w:tblGrid>
      <w:tr w:rsidR="0028690C" w:rsidTr="005A09D8">
        <w:trPr>
          <w:trHeight w:val="215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28690C" w:rsidTr="004723D6">
        <w:trPr>
          <w:trHeight w:val="70"/>
          <w:jc w:val="center"/>
        </w:trPr>
        <w:tc>
          <w:tcPr>
            <w:tcW w:w="4692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4723D6">
        <w:trPr>
          <w:trHeight w:val="80"/>
          <w:jc w:val="center"/>
        </w:trPr>
        <w:tc>
          <w:tcPr>
            <w:tcW w:w="4692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5A09D8" w:rsidP="005A09D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rastresitih granula, suv</w:t>
            </w:r>
            <w:r w:rsidR="0028690C" w:rsidRPr="00A4469C">
              <w:rPr>
                <w:rFonts w:ascii="Times-New-Roman" w:hAnsi="Times-New-Roman" w:cs="Times-New-Roman"/>
              </w:rPr>
              <w:t>.</w:t>
            </w:r>
            <w:r w:rsidR="0028690C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4723D6" w:rsidTr="004723D6">
        <w:trPr>
          <w:trHeight w:val="80"/>
          <w:jc w:val="center"/>
        </w:trPr>
        <w:tc>
          <w:tcPr>
            <w:tcW w:w="4692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723D6" w:rsidRPr="004723D6" w:rsidRDefault="004723D6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Cs/>
                <w:i/>
              </w:rPr>
            </w:pPr>
            <w:r w:rsidRPr="004723D6">
              <w:rPr>
                <w:rFonts w:ascii="Times-New-Roman,Bold" w:hAnsi="Times-New-Roman,Bold" w:cs="Times-New-Roman,Bold"/>
                <w:bCs/>
                <w:i/>
              </w:rPr>
              <w:t>Veličina čestica: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723D6" w:rsidRPr="004723D6" w:rsidRDefault="004723D6" w:rsidP="004723D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   0 % </w:t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0,05 mm</w:t>
            </w:r>
          </w:p>
        </w:tc>
      </w:tr>
      <w:tr w:rsidR="004723D6" w:rsidTr="004723D6">
        <w:trPr>
          <w:trHeight w:val="80"/>
          <w:jc w:val="center"/>
        </w:trPr>
        <w:tc>
          <w:tcPr>
            <w:tcW w:w="4692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723D6" w:rsidRPr="004723D6" w:rsidRDefault="004723D6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723D6" w:rsidRDefault="004723D6" w:rsidP="005A09D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5% </w:t>
            </w:r>
            <w:r>
              <w:rPr>
                <w:rFonts w:ascii="Times New Roman" w:hAnsi="Times New Roman" w:cs="Times New Roman"/>
              </w:rPr>
              <w:t>&lt;</w:t>
            </w:r>
            <w:r>
              <w:rPr>
                <w:rFonts w:ascii="Times-New-Roman" w:hAnsi="Times-New-Roman" w:cs="Times-New-Roman"/>
              </w:rPr>
              <w:t xml:space="preserve"> 0,1 mm</w:t>
            </w:r>
          </w:p>
        </w:tc>
      </w:tr>
      <w:tr w:rsidR="0028690C" w:rsidTr="004723D6">
        <w:trPr>
          <w:trHeight w:val="355"/>
          <w:jc w:val="center"/>
        </w:trPr>
        <w:tc>
          <w:tcPr>
            <w:tcW w:w="4692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5A09D8" w:rsidP="00AC627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Svetlo braon-svetlo sivo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4723D6">
        <w:trPr>
          <w:trHeight w:val="80"/>
          <w:jc w:val="center"/>
        </w:trPr>
        <w:tc>
          <w:tcPr>
            <w:tcW w:w="4692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AC627F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28690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4723D6">
        <w:trPr>
          <w:trHeight w:val="288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4723D6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Nije primenjivo.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C627F" w:rsidP="006228A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AC627F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F3E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4723D6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4723D6">
        <w:trPr>
          <w:trHeight w:val="8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4723D6">
        <w:trPr>
          <w:trHeight w:val="20"/>
          <w:jc w:val="center"/>
        </w:trPr>
        <w:tc>
          <w:tcPr>
            <w:tcW w:w="4241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5276B" w:rsidTr="00AC627F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4723D6" w:rsidTr="004723D6">
        <w:trPr>
          <w:trHeight w:val="458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723D6" w:rsidRPr="00F103C0" w:rsidRDefault="004723D6" w:rsidP="004723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Proizvod je stabilan pri uslovima skladištenja koji su navedeni.</w:t>
            </w:r>
          </w:p>
        </w:tc>
      </w:tr>
      <w:tr w:rsidR="0095276B" w:rsidTr="00DD349B">
        <w:trPr>
          <w:trHeight w:val="458"/>
          <w:jc w:val="center"/>
        </w:trPr>
        <w:tc>
          <w:tcPr>
            <w:tcW w:w="469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5276B" w:rsidRPr="00A4469C" w:rsidRDefault="0095276B" w:rsidP="00DD349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DD349B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  <w:r w:rsidR="00F44D19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4723D6">
              <w:rPr>
                <w:rFonts w:ascii="Times-New-Roman" w:hAnsi="Times-New-Roman" w:cs="Times-New-Roman"/>
                <w:lang w:val="de-DE"/>
              </w:rPr>
              <w:t>Prašina može formirati eksplozivnu mešavinu sa vazduhom.</w:t>
            </w:r>
          </w:p>
        </w:tc>
      </w:tr>
    </w:tbl>
    <w:p w:rsidR="004723D6" w:rsidRPr="00E3536C" w:rsidRDefault="004723D6" w:rsidP="004723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Se 1% BMP)</w:t>
      </w:r>
    </w:p>
    <w:p w:rsidR="004723D6" w:rsidRPr="002C21D4" w:rsidRDefault="004723D6" w:rsidP="004723D6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F3E5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723D6" w:rsidRDefault="004723D6" w:rsidP="004723D6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95276B" w:rsidTr="00CE69CD">
        <w:trPr>
          <w:trHeight w:val="7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lastRenderedPageBreak/>
              <w:t>10.2. Materijali koje treba izbegavati: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4723D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  <w:r w:rsidR="004723D6">
              <w:rPr>
                <w:rFonts w:ascii="Times-New-Roman,Bold" w:hAnsi="Times-New-Roman,Bold" w:cs="Times-New-Roman,Bold"/>
                <w:bCs/>
                <w:lang w:val="de-DE"/>
              </w:rPr>
              <w:t>K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iseline.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CE69C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0943B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F44D19" w:rsidP="000943B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naznačeno.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CE69CD">
        <w:trPr>
          <w:trHeight w:val="242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CE69CD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AC627F" w:rsidP="00AC627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i/>
              </w:rPr>
              <w:t xml:space="preserve">Ethoxyquin                                     </w:t>
            </w:r>
            <w:r w:rsidR="00F103C0" w:rsidRPr="00A4469C">
              <w:rPr>
                <w:rFonts w:ascii="Times-New-Roman" w:hAnsi="Times-New-Roman" w:cs="Times-New-Roman"/>
                <w:i/>
              </w:rPr>
              <w:t>Na usta (LD</w:t>
            </w:r>
            <w:r w:rsidR="00F103C0"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="00F103C0"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DD349B" w:rsidRDefault="00DD349B" w:rsidP="00AC62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500</w:t>
            </w:r>
            <w:r w:rsidR="00AC627F">
              <w:rPr>
                <w:rFonts w:ascii="Times-New-Roman" w:hAnsi="Times-New-Roman" w:cs="Times-New-Roman"/>
              </w:rPr>
              <w:t xml:space="preserve"> mg/kg (pacov)</w:t>
            </w:r>
            <w:r>
              <w:rPr>
                <w:rFonts w:ascii="Times-New-Roman" w:hAnsi="Times-New-Roman" w:cs="Times-New-Roman"/>
              </w:rPr>
              <w:t xml:space="preserve"> (test sproveden na sličnom proizvodu-Microgran</w:t>
            </w:r>
            <w:r>
              <w:rPr>
                <w:rFonts w:ascii="Times-New-Roman" w:hAnsi="Times-New-Roman" w:cs="Times-New-Roman"/>
                <w:vertAlign w:val="superscript"/>
              </w:rPr>
              <w:t>TM</w:t>
            </w:r>
            <w:r>
              <w:rPr>
                <w:rFonts w:ascii="Times-New-Roman" w:hAnsi="Times-New-Roman" w:cs="Times-New-Roman"/>
              </w:rPr>
              <w:t xml:space="preserve"> Se 4.5% BMP)-metod fiksne doze</w:t>
            </w:r>
          </w:p>
        </w:tc>
      </w:tr>
      <w:tr w:rsidR="005252C9" w:rsidTr="00CE69CD">
        <w:trPr>
          <w:trHeight w:val="13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CE69CD">
        <w:trPr>
          <w:trHeight w:val="4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CE69C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5252C9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CE69C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CE69C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CE69CD">
        <w:trPr>
          <w:trHeight w:val="63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D349B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</w:t>
            </w:r>
            <w:r w:rsidR="000943B1">
              <w:rPr>
                <w:rFonts w:ascii="Times-New-Roman" w:hAnsi="Times-New-Roman" w:cs="Times-New-Roman"/>
                <w:b/>
                <w:i/>
              </w:rPr>
              <w:t xml:space="preserve">     </w:t>
            </w:r>
          </w:p>
          <w:p w:rsidR="005252C9" w:rsidRPr="00DD349B" w:rsidRDefault="00DD349B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DD349B">
              <w:rPr>
                <w:rFonts w:ascii="Times-New-Roman" w:hAnsi="Times-New-Roman" w:cs="Times-New-Roman"/>
                <w:i/>
              </w:rPr>
              <w:t>Sodium selenite</w:t>
            </w:r>
            <w:r w:rsidR="000943B1" w:rsidRPr="00DD349B">
              <w:rPr>
                <w:rFonts w:ascii="Times-New-Roman" w:hAnsi="Times-New-Roman" w:cs="Times-New-Roman"/>
                <w:i/>
              </w:rPr>
              <w:t xml:space="preserve">         </w:t>
            </w:r>
            <w:r w:rsidR="005252C9" w:rsidRPr="00DD349B">
              <w:rPr>
                <w:rFonts w:ascii="Times-New-Roman" w:hAnsi="Times-New-Roman" w:cs="Times-New-Roman"/>
                <w:i/>
              </w:rPr>
              <w:t xml:space="preserve">  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D349B" w:rsidRDefault="00DD349B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dužem kontaktu može izazvati iritaciju.</w:t>
            </w:r>
          </w:p>
          <w:p w:rsidR="003D12EC" w:rsidRPr="00A4469C" w:rsidRDefault="00DD349B" w:rsidP="00DD3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Može izazvati senzibilizaciju.</w:t>
            </w:r>
          </w:p>
        </w:tc>
      </w:tr>
      <w:tr w:rsidR="005252C9" w:rsidTr="00CE69CD">
        <w:trPr>
          <w:trHeight w:val="45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  <w:r>
              <w:rPr>
                <w:rFonts w:ascii="Times-New-Roman" w:hAnsi="Times-New-Roman" w:cs="Times-New-Roman"/>
                <w:b/>
                <w:i/>
              </w:rPr>
              <w:t xml:space="preserve">                                                                 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DD349B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Kontakt s prašinom može dovesti do mehaničke iritacije</w:t>
            </w:r>
            <w:r w:rsidR="000943B1">
              <w:rPr>
                <w:rFonts w:ascii="Times-New-Roman" w:hAnsi="Times-New-Roman" w:cs="Times-New-Roman"/>
              </w:rPr>
              <w:t>.</w:t>
            </w:r>
          </w:p>
        </w:tc>
      </w:tr>
      <w:tr w:rsidR="005252C9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DD34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CE69C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CE69C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DD349B" w:rsidP="00DD34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DD349B">
              <w:rPr>
                <w:rFonts w:ascii="Times-New-Roman" w:hAnsi="Times-New-Roman" w:cs="Times-New-Roman"/>
                <w:i/>
              </w:rPr>
              <w:t>Sodium selenite</w:t>
            </w:r>
            <w:r>
              <w:rPr>
                <w:rFonts w:ascii="Times-New-Roman" w:hAnsi="Times-New-Roman" w:cs="Times-New-Roman"/>
                <w:i/>
              </w:rPr>
              <w:t xml:space="preserve"> m</w:t>
            </w:r>
            <w:r>
              <w:rPr>
                <w:rFonts w:ascii="Times-New-Roman" w:hAnsi="Times-New-Roman" w:cs="Times-New-Roman"/>
              </w:rPr>
              <w:t>ože izazvati senzibilizaciju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 preko kože.</w:t>
            </w:r>
          </w:p>
        </w:tc>
      </w:tr>
      <w:tr w:rsidR="005252C9" w:rsidTr="00CE69C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B37E9" w:rsidRPr="00A4469C" w:rsidRDefault="000943B1" w:rsidP="000943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CE69C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0943B1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CE69C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CE69C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CE69CD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CE69C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CE69C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B37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44D19" w:rsidTr="00CE69CD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44D19" w:rsidRPr="00A4469C" w:rsidRDefault="00F44D19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44D19" w:rsidRDefault="00F44D19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CE69CD" w:rsidTr="00CE69CD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CE69C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ribe (Sodium selenite):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Default="00CE69CD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LC50 (96H) 8,62 mg/l -Oryzias latipes </w:t>
            </w:r>
          </w:p>
        </w:tc>
      </w:tr>
      <w:tr w:rsidR="00CE69CD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Default="00CE69CD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>
              <w:rPr>
                <w:rFonts w:ascii="Times-New-Roman" w:hAnsi="Times-New-Roman" w:cs="Times-New-Roman"/>
                <w:i/>
                <w:lang w:val="de-DE"/>
              </w:rPr>
              <w:t>Toksičnost za dafnije i ostale vodene beskičmenjake: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Default="00CE69CD" w:rsidP="00BA07A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EC50 (48h) 1,1 mg/l –Daphnia magna</w:t>
            </w: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CE69CD" w:rsidTr="00CE69CD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69CD" w:rsidRPr="00A4469C" w:rsidRDefault="00CE69CD" w:rsidP="00CE69C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en-GB"/>
              </w:rPr>
            </w:pPr>
            <w:r>
              <w:rPr>
                <w:rFonts w:ascii="Times-New-Roman" w:hAnsi="Times-New-Roman" w:cs="Times-New-Roman"/>
                <w:i/>
                <w:lang w:val="en-GB"/>
              </w:rPr>
              <w:t>Dodatne informacije:</w:t>
            </w:r>
          </w:p>
          <w:p w:rsidR="00CE69CD" w:rsidRPr="00A4469C" w:rsidRDefault="00CE69CD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Mogućnost opasnosti za životnu sredinu se ne može odbaciti usled neprofesionalnog rukovanja ili odlaganja. Štetno za vodene organizme, može prouzrokovati dugotrajna neželjena dejstva u vodenoj sredini.</w:t>
            </w:r>
          </w:p>
        </w:tc>
      </w:tr>
    </w:tbl>
    <w:p w:rsidR="00CE69CD" w:rsidRPr="00E3536C" w:rsidRDefault="00CE69CD" w:rsidP="00CE69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Se 1% BMP)</w:t>
      </w:r>
    </w:p>
    <w:p w:rsidR="00CE69CD" w:rsidRPr="002C21D4" w:rsidRDefault="00CE69CD" w:rsidP="00CE69C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F3E5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E69CD" w:rsidRDefault="00CE69CD" w:rsidP="00CE69CD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0943B1" w:rsidTr="00CE69CD">
        <w:trPr>
          <w:trHeight w:val="458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12.2. Mobilnost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0943B1" w:rsidTr="00CE69C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0943B1" w:rsidTr="00CE69CD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07A2E" w:rsidRPr="00A4469C" w:rsidRDefault="00A71C5D" w:rsidP="00C07A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CE69CD">
        <w:trPr>
          <w:trHeight w:val="2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CE69CD">
        <w:trPr>
          <w:trHeight w:val="45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0943B1" w:rsidTr="00CE69CD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0943B1" w:rsidRPr="00A4469C" w:rsidRDefault="000943B1" w:rsidP="00CE69C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CE69CD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CE69CD">
        <w:trPr>
          <w:trHeight w:val="512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0943B1" w:rsidTr="00CE69CD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CE69CD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CE69CD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A71C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0943B1" w:rsidTr="001B1D22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943B1" w:rsidRPr="0045717F" w:rsidRDefault="000943B1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0943B1" w:rsidTr="00CE69C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0943B1" w:rsidRPr="00A4469C" w:rsidRDefault="000943B1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CE69CD" w:rsidTr="00CE69CD">
        <w:trPr>
          <w:trHeight w:val="78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CE69CD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A4469C" w:rsidRDefault="00CE69CD" w:rsidP="00746A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odlagati otpad u kanalizaciju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>Ne kontaminirati ribnjake, vodene tokove ili rovove supstancom ili korišćenim kontejnerom.Ponuditi ostatke i nereciklirajuće rastvore licenciranim firmama koje se bave odlaganjem otpada. Odlaganje u životnu sredinu mora se izbeći.</w:t>
            </w:r>
          </w:p>
        </w:tc>
      </w:tr>
      <w:tr w:rsidR="00CE69CD" w:rsidTr="00CE69CD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CE69CD" w:rsidRPr="00A4469C" w:rsidRDefault="009F3E5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Zagađena</w:t>
            </w:r>
            <w:r w:rsidR="00CE69CD" w:rsidRPr="00A4469C">
              <w:rPr>
                <w:rFonts w:ascii="Times-New-Roman" w:hAnsi="Times-New-Roman" w:cs="Times-New-Roman"/>
                <w:i/>
              </w:rPr>
              <w:t xml:space="preserve"> ambalaža</w:t>
            </w:r>
            <w:r w:rsidR="00CE69CD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CE69CD" w:rsidRPr="00A4469C" w:rsidRDefault="00CE69CD" w:rsidP="00746A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Odložiti kao neupotrebljen proizvod.Ne koristiti ponovo već upotrebljen prazan kontejner.</w:t>
            </w:r>
          </w:p>
        </w:tc>
      </w:tr>
      <w:tr w:rsidR="000943B1" w:rsidTr="00CE69C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943B1" w:rsidRPr="00A4469C" w:rsidRDefault="000943B1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943B1" w:rsidRPr="00A4469C" w:rsidRDefault="000943B1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CE69CD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7106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CE69C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</w:tbl>
    <w:p w:rsidR="00CE69CD" w:rsidRPr="00E3536C" w:rsidRDefault="00CE69CD" w:rsidP="00CE69C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Se 1% BMP)</w:t>
      </w:r>
    </w:p>
    <w:p w:rsidR="00CE69CD" w:rsidRPr="002C21D4" w:rsidRDefault="00CE69CD" w:rsidP="00CE69CD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F3E5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CE69CD" w:rsidRDefault="00CE69CD" w:rsidP="00CE69CD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1337C" w:rsidTr="00CE69CD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C07A2E" w:rsidP="00C07A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Obeležavanje prema EC Direktivama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EB7208" w:rsidRDefault="00CE69CD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B7208">
              <w:rPr>
                <w:rFonts w:ascii="Times New Roman" w:hAnsi="Times New Roman" w:cs="Times New Roman"/>
                <w:color w:val="000000"/>
              </w:rPr>
              <w:t xml:space="preserve">Xi- </w:t>
            </w:r>
            <w:r w:rsidRPr="00EB7208">
              <w:rPr>
                <w:rFonts w:ascii="Times New Roman" w:hAnsi="Times New Roman" w:cs="Times New Roman"/>
              </w:rPr>
              <w:t>Iritativno</w:t>
            </w:r>
          </w:p>
        </w:tc>
      </w:tr>
      <w:tr w:rsidR="0041337C" w:rsidTr="00EB7208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EB7208" w:rsidRDefault="00CE69CD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B7208">
              <w:rPr>
                <w:rFonts w:ascii="Times New Roman" w:hAnsi="Times New Roman" w:cs="Times New Roman"/>
                <w:bCs/>
                <w:lang w:val="en-GB"/>
              </w:rPr>
              <w:t xml:space="preserve">R22- </w:t>
            </w:r>
            <w:r w:rsidRPr="00EB7208">
              <w:rPr>
                <w:rFonts w:ascii="Times New Roman" w:hAnsi="Times New Roman" w:cs="Times New Roman"/>
              </w:rPr>
              <w:t xml:space="preserve">Štetno ako se proguta. </w:t>
            </w:r>
          </w:p>
          <w:p w:rsidR="00CE69CD" w:rsidRPr="00EB7208" w:rsidRDefault="00CE69CD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B7208">
              <w:rPr>
                <w:rFonts w:ascii="Times New Roman" w:hAnsi="Times New Roman" w:cs="Times New Roman"/>
                <w:bCs/>
                <w:lang w:val="en-GB"/>
              </w:rPr>
              <w:t xml:space="preserve">R43- </w:t>
            </w:r>
            <w:r w:rsidRPr="00EB7208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CE69CD" w:rsidRPr="00EB7208" w:rsidRDefault="00CE69CD" w:rsidP="00CE69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B7208">
              <w:rPr>
                <w:rFonts w:ascii="Times New Roman" w:hAnsi="Times New Roman" w:cs="Times New Roman"/>
                <w:bCs/>
                <w:lang w:val="en-GB"/>
              </w:rPr>
              <w:t xml:space="preserve">R52/53- </w:t>
            </w:r>
            <w:r w:rsidRPr="00EB7208">
              <w:rPr>
                <w:rFonts w:ascii="Times New Roman" w:hAnsi="Times New Roman" w:cs="Times New Roman"/>
              </w:rPr>
              <w:t xml:space="preserve">Štetno za vodene organizme, može izazvati dugotrajne štetne efekte u vodenoj životnoj sredini. </w:t>
            </w:r>
          </w:p>
        </w:tc>
      </w:tr>
      <w:tr w:rsidR="0041337C" w:rsidTr="00EB7208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B7208" w:rsidRDefault="00EB7208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B7208">
              <w:rPr>
                <w:rFonts w:ascii="Times New Roman" w:hAnsi="Times New Roman" w:cs="Times New Roman"/>
                <w:bCs/>
                <w:lang w:val="en-GB"/>
              </w:rPr>
              <w:t xml:space="preserve">S24- </w:t>
            </w:r>
            <w:r w:rsidRPr="00EB7208">
              <w:rPr>
                <w:rFonts w:ascii="Times New Roman" w:hAnsi="Times New Roman" w:cs="Times New Roman"/>
              </w:rPr>
              <w:t xml:space="preserve">Izbegavati kontakt sa kožom. </w:t>
            </w:r>
          </w:p>
          <w:p w:rsidR="00EB7208" w:rsidRPr="00EB7208" w:rsidRDefault="00EB7208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B7208">
              <w:rPr>
                <w:rFonts w:ascii="Times New Roman" w:hAnsi="Times New Roman" w:cs="Times New Roman"/>
                <w:bCs/>
                <w:lang w:val="en-GB"/>
              </w:rPr>
              <w:t xml:space="preserve">S37- </w:t>
            </w:r>
            <w:r w:rsidRPr="00EB7208">
              <w:rPr>
                <w:rFonts w:ascii="Times New Roman" w:hAnsi="Times New Roman" w:cs="Times New Roman"/>
              </w:rPr>
              <w:t xml:space="preserve">Nositi zaštitne rukavice. </w:t>
            </w:r>
          </w:p>
          <w:p w:rsidR="00EB7208" w:rsidRPr="00EB7208" w:rsidRDefault="00EB7208" w:rsidP="00EB7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 w:rsidRPr="00EB7208">
              <w:rPr>
                <w:rFonts w:ascii="Times New Roman" w:hAnsi="Times New Roman" w:cs="Times New Roman"/>
                <w:bCs/>
                <w:lang w:val="en-GB"/>
              </w:rPr>
              <w:t xml:space="preserve">S61- </w:t>
            </w:r>
            <w:r w:rsidRPr="00EB7208">
              <w:rPr>
                <w:rFonts w:ascii="Times New Roman" w:hAnsi="Times New Roman" w:cs="Times New Roman"/>
              </w:rPr>
              <w:t>Izbegavati ispuštanje sadržaja u životnu sredinu; pridržavati se posebnih uputstava/bezbednosnog lista.</w:t>
            </w:r>
          </w:p>
        </w:tc>
      </w:tr>
      <w:tr w:rsidR="00EB7208" w:rsidTr="00EB7208">
        <w:trPr>
          <w:trHeight w:val="413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B7208" w:rsidRPr="00C57663" w:rsidRDefault="00EB7208" w:rsidP="00746A5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Opasne supstance koje se moraju navesti na etiketi: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EB7208" w:rsidRPr="00C57663" w:rsidRDefault="00EB7208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57663">
              <w:rPr>
                <w:rFonts w:ascii="Times New Roman" w:hAnsi="Times New Roman" w:cs="Times New Roman"/>
              </w:rPr>
              <w:t>∙</w:t>
            </w:r>
            <w:r>
              <w:rPr>
                <w:rFonts w:ascii="Times New Roman" w:hAnsi="Times New Roman" w:cs="Times New Roman"/>
              </w:rPr>
              <w:t>10102-18-8</w:t>
            </w:r>
            <w:r w:rsidRPr="00C5766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sodium selenite</w:t>
            </w:r>
          </w:p>
        </w:tc>
      </w:tr>
      <w:tr w:rsidR="0041337C" w:rsidTr="00EB7208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27286B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EB7208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EB7208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7208" w:rsidRPr="00EB7208" w:rsidRDefault="00EB7208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B7208">
              <w:rPr>
                <w:rFonts w:ascii="Times New Roman" w:hAnsi="Times New Roman" w:cs="Times New Roman"/>
                <w:bCs/>
                <w:lang w:val="en-GB"/>
              </w:rPr>
              <w:t xml:space="preserve">R22- </w:t>
            </w:r>
            <w:r w:rsidRPr="00EB7208">
              <w:rPr>
                <w:rFonts w:ascii="Times New Roman" w:hAnsi="Times New Roman" w:cs="Times New Roman"/>
              </w:rPr>
              <w:t xml:space="preserve">Štetno ako se proguta. </w:t>
            </w:r>
          </w:p>
          <w:p w:rsidR="00EB7208" w:rsidRPr="00EB7208" w:rsidRDefault="00EB7208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B7208">
              <w:rPr>
                <w:rFonts w:ascii="Times New Roman" w:hAnsi="Times New Roman" w:cs="Times New Roman"/>
              </w:rPr>
              <w:t xml:space="preserve">R23- Toksično ako se udiše. </w:t>
            </w:r>
          </w:p>
          <w:p w:rsidR="00EB7208" w:rsidRPr="00EB7208" w:rsidRDefault="00EB7208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B7208">
              <w:rPr>
                <w:rFonts w:ascii="Times New Roman" w:hAnsi="Times New Roman" w:cs="Times New Roman"/>
              </w:rPr>
              <w:t xml:space="preserve">R28- Veoma toksično ako se proguta. </w:t>
            </w:r>
          </w:p>
          <w:p w:rsidR="00EB7208" w:rsidRPr="00EB7208" w:rsidRDefault="00EB7208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B7208">
              <w:rPr>
                <w:rFonts w:ascii="Times New Roman" w:hAnsi="Times New Roman" w:cs="Times New Roman"/>
              </w:rPr>
              <w:t xml:space="preserve">R31- U kontaktu sa kiselinama oslobađa toksičan gas. </w:t>
            </w:r>
          </w:p>
          <w:p w:rsidR="00EB7208" w:rsidRPr="00EB7208" w:rsidRDefault="00EB7208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B7208">
              <w:rPr>
                <w:rFonts w:ascii="Times New Roman" w:hAnsi="Times New Roman" w:cs="Times New Roman"/>
                <w:bCs/>
                <w:lang w:val="en-GB"/>
              </w:rPr>
              <w:t xml:space="preserve">R43- </w:t>
            </w:r>
            <w:r w:rsidRPr="00EB7208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EB7208" w:rsidRPr="00EB7208" w:rsidRDefault="00EB7208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EB7208">
              <w:rPr>
                <w:rFonts w:ascii="Times New Roman" w:hAnsi="Times New Roman" w:cs="Times New Roman"/>
              </w:rPr>
              <w:t xml:space="preserve">R51- Toksično po vodene organizme. </w:t>
            </w:r>
          </w:p>
          <w:p w:rsidR="00C07A2E" w:rsidRPr="009621A5" w:rsidRDefault="00EB7208" w:rsidP="00EB72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B7208">
              <w:rPr>
                <w:rFonts w:ascii="Times New Roman" w:hAnsi="Times New Roman" w:cs="Times New Roman"/>
                <w:bCs/>
                <w:lang w:val="en-GB"/>
              </w:rPr>
              <w:t xml:space="preserve">R52/53- </w:t>
            </w:r>
            <w:r w:rsidRPr="00EB7208">
              <w:rPr>
                <w:rFonts w:ascii="Times New Roman" w:hAnsi="Times New Roman" w:cs="Times New Roman"/>
              </w:rPr>
              <w:t>Štetno za vodene organizme, može izazvati dugotrajne štetne efekte u vodenoj životnoj sredini.</w:t>
            </w:r>
          </w:p>
        </w:tc>
      </w:tr>
      <w:tr w:rsidR="00C7566B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EB7208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B7208" w:rsidRPr="00E3536C" w:rsidRDefault="00EB7208" w:rsidP="00EB72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Se 1% BMP)</w:t>
      </w:r>
    </w:p>
    <w:p w:rsidR="00EB7208" w:rsidRPr="002C21D4" w:rsidRDefault="00EB7208" w:rsidP="00EB7208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F3E5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B7208" w:rsidRDefault="00EB7208" w:rsidP="00EB7208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BC22EF" w:rsidTr="00EB7208">
        <w:trPr>
          <w:trHeight w:val="70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BC22EF" w:rsidRPr="00A4469C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lastRenderedPageBreak/>
              <w:t>- Promene u odnosu na prethodno izdanje: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BC22EF" w:rsidRPr="005F0560" w:rsidRDefault="00BC22EF" w:rsidP="00A0120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BC22EF" w:rsidTr="00EB7208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7106DC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9F3E54" w:rsidTr="003368E7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9F3E54" w:rsidRDefault="009F3E54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7106D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Pr="006669A8" w:rsidRDefault="0041337C" w:rsidP="0041337C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Pr="00A4469C" w:rsidRDefault="0041337C" w:rsidP="00413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148B0" w:rsidRDefault="005148B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8A3492" w:rsidRDefault="008A349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1B1D22" w:rsidRDefault="001B1D22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9F787D" w:rsidRDefault="009F787D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E3536C" w:rsidRPr="00E3536C" w:rsidRDefault="00E3536C" w:rsidP="00E3536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Microgran</w:t>
      </w:r>
      <w:r>
        <w:rPr>
          <w:rFonts w:ascii="Times New Roman" w:hAnsi="Times New Roman" w:cs="Times New Roman"/>
          <w:i/>
          <w:sz w:val="20"/>
          <w:szCs w:val="20"/>
          <w:vertAlign w:val="superscript"/>
          <w:lang w:val="sr-Latn-RS"/>
        </w:rPr>
        <w:t>TM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 xml:space="preserve"> Se 1% BMP)</w:t>
      </w:r>
    </w:p>
    <w:p w:rsidR="00E3536C" w:rsidRPr="002C21D4" w:rsidRDefault="00E3536C" w:rsidP="00E3536C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9F3E54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351E80">
      <w:pPr>
        <w:spacing w:after="0" w:line="240" w:lineRule="auto"/>
        <w:jc w:val="right"/>
        <w:rPr>
          <w:rFonts w:ascii="Times New Roman" w:hAnsi="Times New Roman" w:cs="Times New Roman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>trana</w:t>
      </w:r>
      <w:proofErr w:type="gramEnd"/>
      <w:r w:rsidR="002C21D4" w:rsidRPr="009A04C5">
        <w:rPr>
          <w:rFonts w:ascii="Times New Roman" w:hAnsi="Times New Roman" w:cs="Times New Roman"/>
        </w:rPr>
        <w:t xml:space="preserve"> </w:t>
      </w:r>
      <w:r w:rsidR="008A3492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8A3492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AE" w:rsidRDefault="002A7FAE" w:rsidP="005E0553">
      <w:pPr>
        <w:spacing w:after="0" w:line="240" w:lineRule="auto"/>
      </w:pPr>
      <w:r>
        <w:separator/>
      </w:r>
    </w:p>
  </w:endnote>
  <w:endnote w:type="continuationSeparator" w:id="0">
    <w:p w:rsidR="002A7FAE" w:rsidRDefault="002A7FAE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AE" w:rsidRDefault="002A7FAE" w:rsidP="005E0553">
      <w:pPr>
        <w:spacing w:after="0" w:line="240" w:lineRule="auto"/>
      </w:pPr>
      <w:r>
        <w:separator/>
      </w:r>
    </w:p>
  </w:footnote>
  <w:footnote w:type="continuationSeparator" w:id="0">
    <w:p w:rsidR="002A7FAE" w:rsidRDefault="002A7FAE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6C" w:rsidRDefault="00E3536C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3536C" w:rsidRPr="00D23B93" w:rsidRDefault="00E3536C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4713E"/>
    <w:rsid w:val="00054A79"/>
    <w:rsid w:val="00067DCF"/>
    <w:rsid w:val="0007476B"/>
    <w:rsid w:val="00074FD9"/>
    <w:rsid w:val="00085431"/>
    <w:rsid w:val="000943B1"/>
    <w:rsid w:val="00096130"/>
    <w:rsid w:val="000E3E04"/>
    <w:rsid w:val="000F2585"/>
    <w:rsid w:val="00102A9F"/>
    <w:rsid w:val="00117B76"/>
    <w:rsid w:val="0012537F"/>
    <w:rsid w:val="001273F5"/>
    <w:rsid w:val="001472BC"/>
    <w:rsid w:val="00147F3F"/>
    <w:rsid w:val="00152071"/>
    <w:rsid w:val="001609B6"/>
    <w:rsid w:val="00161F1C"/>
    <w:rsid w:val="00167471"/>
    <w:rsid w:val="00174B9D"/>
    <w:rsid w:val="001B1D22"/>
    <w:rsid w:val="001D4A37"/>
    <w:rsid w:val="001F4CB2"/>
    <w:rsid w:val="002052E7"/>
    <w:rsid w:val="00234156"/>
    <w:rsid w:val="00243877"/>
    <w:rsid w:val="00264501"/>
    <w:rsid w:val="00266788"/>
    <w:rsid w:val="0027286B"/>
    <w:rsid w:val="002739FC"/>
    <w:rsid w:val="002866E7"/>
    <w:rsid w:val="0028690C"/>
    <w:rsid w:val="002A36C3"/>
    <w:rsid w:val="002A7FAE"/>
    <w:rsid w:val="002B13B9"/>
    <w:rsid w:val="002C1ECB"/>
    <w:rsid w:val="002C21D4"/>
    <w:rsid w:val="002C36FB"/>
    <w:rsid w:val="002C7808"/>
    <w:rsid w:val="002E1474"/>
    <w:rsid w:val="0032758A"/>
    <w:rsid w:val="00335A8D"/>
    <w:rsid w:val="00346A2F"/>
    <w:rsid w:val="00351689"/>
    <w:rsid w:val="00351E80"/>
    <w:rsid w:val="00356F05"/>
    <w:rsid w:val="0038518E"/>
    <w:rsid w:val="00394137"/>
    <w:rsid w:val="003949D8"/>
    <w:rsid w:val="0039538E"/>
    <w:rsid w:val="003B3B37"/>
    <w:rsid w:val="003D12EC"/>
    <w:rsid w:val="003F131A"/>
    <w:rsid w:val="0040318F"/>
    <w:rsid w:val="004068D3"/>
    <w:rsid w:val="004105AA"/>
    <w:rsid w:val="0041337C"/>
    <w:rsid w:val="00422A41"/>
    <w:rsid w:val="00432C12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723D6"/>
    <w:rsid w:val="004752BB"/>
    <w:rsid w:val="00481C81"/>
    <w:rsid w:val="004851FC"/>
    <w:rsid w:val="004C7BA4"/>
    <w:rsid w:val="00505DE2"/>
    <w:rsid w:val="005148B0"/>
    <w:rsid w:val="00524B27"/>
    <w:rsid w:val="005252C9"/>
    <w:rsid w:val="00536A1D"/>
    <w:rsid w:val="005377C2"/>
    <w:rsid w:val="005979D5"/>
    <w:rsid w:val="005A09D8"/>
    <w:rsid w:val="005A212A"/>
    <w:rsid w:val="005B1B79"/>
    <w:rsid w:val="005B3CA4"/>
    <w:rsid w:val="005C1966"/>
    <w:rsid w:val="005D0B13"/>
    <w:rsid w:val="005E0553"/>
    <w:rsid w:val="005F0560"/>
    <w:rsid w:val="005F462A"/>
    <w:rsid w:val="00607DA6"/>
    <w:rsid w:val="006164A0"/>
    <w:rsid w:val="00617AA1"/>
    <w:rsid w:val="006228A1"/>
    <w:rsid w:val="006351DF"/>
    <w:rsid w:val="0063635E"/>
    <w:rsid w:val="006558E6"/>
    <w:rsid w:val="006669A8"/>
    <w:rsid w:val="0067694D"/>
    <w:rsid w:val="00676F94"/>
    <w:rsid w:val="006812B4"/>
    <w:rsid w:val="006A1DEE"/>
    <w:rsid w:val="006B37E9"/>
    <w:rsid w:val="006B5251"/>
    <w:rsid w:val="006C720B"/>
    <w:rsid w:val="006D1224"/>
    <w:rsid w:val="006E27B7"/>
    <w:rsid w:val="006E4B82"/>
    <w:rsid w:val="006E68A5"/>
    <w:rsid w:val="006F2F8B"/>
    <w:rsid w:val="006F43A9"/>
    <w:rsid w:val="007106DC"/>
    <w:rsid w:val="0071109E"/>
    <w:rsid w:val="007110B0"/>
    <w:rsid w:val="00714C28"/>
    <w:rsid w:val="0072765F"/>
    <w:rsid w:val="00737075"/>
    <w:rsid w:val="007518B9"/>
    <w:rsid w:val="007543CD"/>
    <w:rsid w:val="00794AD3"/>
    <w:rsid w:val="007D59BC"/>
    <w:rsid w:val="007D61B6"/>
    <w:rsid w:val="007E419C"/>
    <w:rsid w:val="007E53B6"/>
    <w:rsid w:val="007E59D4"/>
    <w:rsid w:val="00811949"/>
    <w:rsid w:val="00813673"/>
    <w:rsid w:val="008151FC"/>
    <w:rsid w:val="00824C25"/>
    <w:rsid w:val="008302DE"/>
    <w:rsid w:val="00831D13"/>
    <w:rsid w:val="00851214"/>
    <w:rsid w:val="008558C9"/>
    <w:rsid w:val="00856467"/>
    <w:rsid w:val="00872636"/>
    <w:rsid w:val="008775AA"/>
    <w:rsid w:val="00884F14"/>
    <w:rsid w:val="008865EA"/>
    <w:rsid w:val="008962A9"/>
    <w:rsid w:val="008A3492"/>
    <w:rsid w:val="008A5D51"/>
    <w:rsid w:val="008B2A29"/>
    <w:rsid w:val="008C114A"/>
    <w:rsid w:val="008C30B3"/>
    <w:rsid w:val="008E49CB"/>
    <w:rsid w:val="00902FC3"/>
    <w:rsid w:val="00914E90"/>
    <w:rsid w:val="00917F6A"/>
    <w:rsid w:val="009309C6"/>
    <w:rsid w:val="009359FB"/>
    <w:rsid w:val="0095276B"/>
    <w:rsid w:val="00960B7C"/>
    <w:rsid w:val="009621A5"/>
    <w:rsid w:val="009634D6"/>
    <w:rsid w:val="00980C6D"/>
    <w:rsid w:val="00981B20"/>
    <w:rsid w:val="009A04C5"/>
    <w:rsid w:val="009C50E8"/>
    <w:rsid w:val="009F3E54"/>
    <w:rsid w:val="009F787D"/>
    <w:rsid w:val="00A00327"/>
    <w:rsid w:val="00A0120F"/>
    <w:rsid w:val="00A123E5"/>
    <w:rsid w:val="00A15368"/>
    <w:rsid w:val="00A17F06"/>
    <w:rsid w:val="00A25630"/>
    <w:rsid w:val="00A3582C"/>
    <w:rsid w:val="00A35FBB"/>
    <w:rsid w:val="00A3622A"/>
    <w:rsid w:val="00A508F7"/>
    <w:rsid w:val="00A71C5D"/>
    <w:rsid w:val="00A84B29"/>
    <w:rsid w:val="00AA3358"/>
    <w:rsid w:val="00AB4E3D"/>
    <w:rsid w:val="00AC627F"/>
    <w:rsid w:val="00AD7D39"/>
    <w:rsid w:val="00AD7EC8"/>
    <w:rsid w:val="00B12957"/>
    <w:rsid w:val="00B50CEA"/>
    <w:rsid w:val="00B60E28"/>
    <w:rsid w:val="00B924FE"/>
    <w:rsid w:val="00BA07AB"/>
    <w:rsid w:val="00BC048F"/>
    <w:rsid w:val="00BC22EF"/>
    <w:rsid w:val="00BD12CF"/>
    <w:rsid w:val="00BD7869"/>
    <w:rsid w:val="00BE2459"/>
    <w:rsid w:val="00C00128"/>
    <w:rsid w:val="00C07A2E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CE5C28"/>
    <w:rsid w:val="00CE69CD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46A9"/>
    <w:rsid w:val="00DC4F00"/>
    <w:rsid w:val="00DD10C3"/>
    <w:rsid w:val="00DD349B"/>
    <w:rsid w:val="00DE34B9"/>
    <w:rsid w:val="00E13312"/>
    <w:rsid w:val="00E21BDC"/>
    <w:rsid w:val="00E34D54"/>
    <w:rsid w:val="00E3536C"/>
    <w:rsid w:val="00E43FF1"/>
    <w:rsid w:val="00E5128F"/>
    <w:rsid w:val="00E6184E"/>
    <w:rsid w:val="00E747D7"/>
    <w:rsid w:val="00E87E5D"/>
    <w:rsid w:val="00E917B2"/>
    <w:rsid w:val="00E936CC"/>
    <w:rsid w:val="00EA31F3"/>
    <w:rsid w:val="00EB7208"/>
    <w:rsid w:val="00EC2B94"/>
    <w:rsid w:val="00EC607C"/>
    <w:rsid w:val="00ED030C"/>
    <w:rsid w:val="00ED42CE"/>
    <w:rsid w:val="00EE19C6"/>
    <w:rsid w:val="00EE1F05"/>
    <w:rsid w:val="00EF3E95"/>
    <w:rsid w:val="00EF58BD"/>
    <w:rsid w:val="00F103C0"/>
    <w:rsid w:val="00F104A4"/>
    <w:rsid w:val="00F21701"/>
    <w:rsid w:val="00F41802"/>
    <w:rsid w:val="00F44D19"/>
    <w:rsid w:val="00F4586F"/>
    <w:rsid w:val="00F63302"/>
    <w:rsid w:val="00F65A6A"/>
    <w:rsid w:val="00F87B4D"/>
    <w:rsid w:val="00F92024"/>
    <w:rsid w:val="00FA3ED0"/>
    <w:rsid w:val="00FC3855"/>
    <w:rsid w:val="00FC4D1B"/>
    <w:rsid w:val="00FD39FE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3DD8-9A48-4D29-B9CC-439A6A27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15</cp:revision>
  <dcterms:created xsi:type="dcterms:W3CDTF">2012-12-05T09:58:00Z</dcterms:created>
  <dcterms:modified xsi:type="dcterms:W3CDTF">2013-01-25T13:27:00Z</dcterms:modified>
</cp:coreProperties>
</file>